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675g BGB — Änderung des Zahlungsdiensterahmenvertrags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Eine Änderung des Zahlungsdiensterahmenvertrags auf Veranlassung des Zahlungsdienstleisters setzt voraus, dass dieser die beabsichtigte Änderung spätestens zwei Monate vor dem vorgeschlagenen Zeitpunkt ihres Wirksamwerdens dem Zahlungsdienstnutzer in der in Artikel 248 §§ 2 und 3 des Einführungsgesetzes zum Bürgerlichen Gesetzbuche vorgesehenen Form anbietet.</w:t>
      </w:r>
    </w:p>
    <w:p>
      <w:r>
        <w:t xml:space="preserve">(2) Der Zahlungsdienstleister und der Zahlungsdienstnutzer können vereinbaren, dass die Zustimmung des Zahlungsdienstnutzers zu einer Änderung nach Absatz 1 als erteilt gilt, wenn dieser dem Zahlungsdienstleister seine Ablehnung nicht vor dem vorgeschlagenen Zeitpunkt des Wirksamwerdens der Änderung angezeigt hat. Im Fall einer solchen Vereinbarung ist der Zahlungsdienstnutzer auch berechtigt, den Zahlungsdiensterahmenvertrag vor dem vorgeschlagenen Zeitpunkt des Wirksamwerdens der Änderung fristlos zu kündigen. Der Zahlungsdienstleister ist verpflichtet, den Zahlungsdienstnutzer mit dem Angebot zur Vertragsänderung auf die Folgen seines Schweigens sowie auf das Recht zur kostenfreien und fristlosen Kündigung hinzuweisen.</w:t>
      </w:r>
    </w:p>
    <w:p>
      <w:r>
        <w:t xml:space="preserve">(3) Änderungen von Zinssätzen oder Wechselkursen werden unmittelbar und ohne vorherige Benachrichtigung wirksam, soweit dies im Zahlungsdiensterahmenvertrag vereinbart wurde und die Änderungen auf den dort vereinbarten Referenzzinssätzen oder Referenzwechselkursen beruhen. Referenzzinssatz ist der Zinssatz, der bei der Zinsberechnung zugrunde gelegt wird und aus einer öffentlich zugänglichen und für beide Parteien eines Zahlungsdienstevertrags überprüfbaren Quelle stammt. Referenzwechselkurs ist der Wechselkurs, der bei jedem Währungsumtausch zugrunde gelegt und vom Zahlungsdienstleister zugänglich gemacht wird oder aus einer öffentlich zugänglichen Quelle stammt.</w:t>
      </w:r>
    </w:p>
    <w:p>
      <w:r>
        <w:t xml:space="preserve">(4) Der Zahlungsdienstnutzer darf durch Vereinbarungen zur Berechnung nach Absatz 3 nicht benachteiligt werden.</w:t>
      </w:r>
    </w:p>
    <w:p>
      <w:r>
        <w:rPr>
          <w:color w:val="555555"/>
          <w:sz w:val="17"/>
        </w:rPr>
        <w:t xml:space="preserve">Zitiervorschlag: § 675g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https://recht.nulegal.eu/gesetze/BGB/675g</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675g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