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67 BGB — Änderung des Vorstands</w:t>
      </w:r>
    </w:p>
    <w:p>
      <w:r>
        <w:rPr>
          <w:color w:val="555555"/>
          <w:sz w:val="18"/>
        </w:rPr>
        <w:t xml:space="preserve">Bürgerliches 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Jede Änderung des Vorstands ist von dem Vorstand zur Eintragung anzumelden. Der Anmeldung ist eine Abschrift der Urkunde über die Änderung beizufügen.</w:t>
      </w:r>
    </w:p>
    <w:p>
      <w:r>
        <w:t xml:space="preserve">(2) Die Eintragung gerichtlich bestellter Vorstandsmitglieder erfolgt von Amts wegen.</w:t>
      </w:r>
    </w:p>
    <w:p>
      <w:r>
        <w:rPr>
          <w:color w:val="555555"/>
          <w:sz w:val="17"/>
        </w:rPr>
        <w:t xml:space="preserve">Zitiervorschlag: § 67 BGB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https://recht.nulegal.eu/gesetze/BGB/67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