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654 BGB — Verwirkung des Lohnanspruchs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23.12.2020 (konsolidierte Textfassung, kein amtliches Inkrafttretensdatum)</w:t>
      </w:r>
    </w:p>
    <w:p>
      <w:r>
        <w:t xml:space="preserve">Der Anspruch auf den Maklerlohn und den Ersatz von Aufwendungen ist ausgeschlossen, wenn der Makler dem Inhalt des Vertrags zuwider auch für den anderen Teil tätig gewesen ist.</w:t>
      </w:r>
    </w:p>
    <w:p>
      <w:r>
        <w:rPr>
          <w:color w:val="555555"/>
          <w:sz w:val="17"/>
        </w:rPr>
        <w:t xml:space="preserve">Zitiervorschlag: § 654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https://recht.nulegal.eu/gesetze/BGB/654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