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653 BGB — Maklerlohn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23.12.2020 (konsolidierte Textfassung, kein amtliches Inkrafttretensdatum)</w:t>
      </w:r>
    </w:p>
    <w:p>
      <w:r>
        <w:t xml:space="preserve">(1) Ein Maklerlohn gilt als stillschweigend vereinbart, wenn die dem Makler übertragene Leistung den Umständen nach nur gegen eine Vergütung zu erwarten ist.</w:t>
      </w:r>
    </w:p>
    <w:p>
      <w:r>
        <w:t xml:space="preserve">(2) Ist die Höhe der Vergütung nicht bestimmt, so ist bei dem Bestehen einer Taxe der taxmäßige Lohn, in Ermangelung einer Taxe der übliche Lohn als vereinbart anzusehen.</w:t>
      </w:r>
    </w:p>
    <w:p>
      <w:r>
        <w:rPr>
          <w:color w:val="555555"/>
          <w:sz w:val="17"/>
        </w:rPr>
        <w:t xml:space="preserve">Zitiervorschlag: § 653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https://recht.nulegal.eu/gesetze/BGB/653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