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651o BGB — Mängelanzeige durch den Reisenden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Reisende hat dem Reiseveranstalter einen Reisemangel unverzüglich anzuzeigen.</w:t>
      </w:r>
    </w:p>
    <w:p>
      <w:r>
        <w:t xml:space="preserve">(2) Soweit der Reiseveranstalter infolge einer schuldhaften Unterlassung der Anzeige nach Absatz 1 nicht Abhilfe schaffen konnte, ist der Reisende nicht berechtigt,</w:t>
      </w:r>
    </w:p>
    <w:p>
      <w:pPr>
        <w:ind w:left="420"/>
      </w:pPr>
      <w:r>
        <w:t xml:space="preserve">1. die in § 651m bestimmten Rechte geltend zu machen oder</w:t>
      </w:r>
    </w:p>
    <w:p>
      <w:pPr>
        <w:ind w:left="420"/>
      </w:pPr>
      <w:r>
        <w:t xml:space="preserve">2. nach § 651n Schadensersatz zu verlangen.</w:t>
      </w:r>
    </w:p>
    <w:p>
      <w:r>
        <w:rPr>
          <w:color w:val="555555"/>
          <w:sz w:val="17"/>
        </w:rPr>
        <w:t xml:space="preserve">Zitiervorschlag: § 651o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https://recht.nulegal.eu/gesetze/BGB/651o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