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649 BGB — Kostenanschlag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Ist dem Vertrag ein Kostenanschlag zugrunde gelegt worden, ohne dass der Unternehmer die Gewähr für die Richtigkeit des Anschlags übernommen hat, und ergibt sich, dass das Werk nicht ohne eine wesentliche Überschreitung des Anschlags ausführbar ist, so steht dem Unternehmer, wenn der Besteller den Vertrag aus diesem Grund kündigt, nur der im § 645 Abs. 1 bestimmte Anspruch zu.</w:t>
      </w:r>
    </w:p>
    <w:p>
      <w:r>
        <w:t xml:space="preserve">(2) Ist eine solche Überschreitung des Anschlags zu erwarten, so hat der Unternehmer dem Besteller unverzüglich Anzeige zu machen.</w:t>
      </w:r>
    </w:p>
    <w:p>
      <w:r>
        <w:rPr>
          <w:color w:val="555555"/>
          <w:sz w:val="17"/>
        </w:rPr>
        <w:t xml:space="preserve">Zitiervorschlag: § 649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https://recht.nulegal.eu/gesetze/BGB/649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