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644 BGB — Gefahrtragung</w:t>
      </w:r>
    </w:p>
    <w:p>
      <w:r>
        <w:rPr>
          <w:color w:val="555555"/>
          <w:sz w:val="18"/>
        </w:rPr>
        <w:t xml:space="preserve">Bürgerliches Gesetzbuch</w:t>
      </w:r>
    </w:p>
    <w:p>
      <w:r>
        <w:rPr>
          <w:color w:val="555555"/>
          <w:sz w:val="18"/>
        </w:rPr>
        <w:t xml:space="preserve">Stand: 15.08.2024 (konsolidierte Textfassung, kein amtliches Inkrafttretensdatum)</w:t>
      </w:r>
    </w:p>
    <w:p>
      <w:r>
        <w:t xml:space="preserve">(1) Der Unternehmer trägt die Gefahr bis zur Abnahme des Werkes. Kommt der Besteller in Verzug der Annahme, so geht die Gefahr auf ihn über. Für den zufälligen Untergang und eine zufällige Verschlechterung des von dem Besteller gelieferten Stoffes ist der Unternehmer nicht verantwortlich.</w:t>
      </w:r>
    </w:p>
    <w:p>
      <w:r>
        <w:t xml:space="preserve">(2) Versendet der Unternehmer das Werk auf Verlangen des Bestellers nach einem anderen Ort als dem Erfüllungsort, so findet die für den Kauf geltende Vorschrift des § 447 entsprechende Anwendung.</w:t>
      </w:r>
    </w:p>
    <w:p>
      <w:r>
        <w:rPr>
          <w:color w:val="555555"/>
          <w:sz w:val="17"/>
        </w:rPr>
        <w:t xml:space="preserve">Zitiervorschlag: § 644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