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636 BGB — Besondere Bestimmungen für Rücktritt und Schadensersatz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15.08.2024 (konsolidierte Textfassung, kein amtliches Inkrafttretensdatum)</w:t>
      </w:r>
    </w:p>
    <w:p>
      <w:r>
        <w:t xml:space="preserve">Außer in den Fällen der §§ 281 Abs. 2 und 323 Abs. 2 bedarf es der Fristsetzung auch dann nicht, wenn der Unternehmer die Nacherfüllung gemäß § 635 Abs. 3 verweigert oder wenn die Nacherfüllung fehlgeschlagen oder dem Besteller unzumutbar ist.</w:t>
      </w:r>
    </w:p>
    <w:p>
      <w:r>
        <w:rPr>
          <w:color w:val="555555"/>
          <w:sz w:val="17"/>
        </w:rPr>
        <w:t xml:space="preserve">Zitiervorschlag: § 636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