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635 BGB — Nacherfüllung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Verlangt der Besteller Nacherfüllung, so kann der Unternehmer nach seiner Wahl den Mangel beseitigen oder ein neues Werk herstellen.</w:t>
      </w:r>
    </w:p>
    <w:p>
      <w:r>
        <w:t xml:space="preserve">(2) Der Unternehmer hat die zum Zwecke der Nacherfüllung erforderlichen Aufwendungen, insbesondere Transport-, Wege-, Arbeits- und Materialkosten zu tragen.</w:t>
      </w:r>
    </w:p>
    <w:p>
      <w:r>
        <w:t xml:space="preserve">(3) Der Unternehmer kann die Nacherfüllung unbeschadet des § 275 Abs. 2 und 3 verweigern, wenn sie nur mit unverhältnismäßigen Kosten möglich ist.</w:t>
      </w:r>
    </w:p>
    <w:p>
      <w:r>
        <w:t xml:space="preserve">(4) Stellt der Unternehmer ein neues Werk her, so kann er vom Besteller Rückgewähr des mangelhaften Werkes nach Maßgabe der §§ 346 bis 348 verlangen.</w:t>
      </w:r>
    </w:p>
    <w:p>
      <w:r>
        <w:rPr>
          <w:color w:val="555555"/>
          <w:sz w:val="17"/>
        </w:rPr>
        <w:t xml:space="preserve">Zitiervorschlag: § 635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