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612 BGB — Vergütung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Vergütung gilt als stillschweigend vereinbart, wenn die Dienstleistung den Umständen nach nur gegen eine Vergütung zu erwarten ist.</w:t>
      </w:r>
    </w:p>
    <w:p>
      <w:r>
        <w:t xml:space="preserve">(2) Ist die Höhe der Vergütung nicht bestimmt, so ist bei dem Bestehen einer Taxe die taxmäßige Vergütung, in Ermangelung einer Taxe die übliche Vergütung als vereinbart anzusehen.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612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