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605 BGB — Kündigungsrecht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Verleiher kann die Leihe kündigen:</w:t>
      </w:r>
    </w:p>
    <w:p>
      <w:pPr>
        <w:ind w:left="420"/>
      </w:pPr>
      <w:r>
        <w:t xml:space="preserve">1. wenn er infolge eines nicht vorhergesehenen Umstandes der verliehenen Sache bedarf,</w:t>
      </w:r>
    </w:p>
    <w:p>
      <w:pPr>
        <w:ind w:left="420"/>
      </w:pPr>
      <w:r>
        <w:t xml:space="preserve">2. wenn der Entleiher einen vertragswidrigen Gebrauch von der Sache macht, insbesondere unbefugt den Gebrauch einem Dritten überlässt, oder die Sache durch Vernachlässigung der ihm obliegenden Sorgfalt erheblich gefährdet,</w:t>
      </w:r>
    </w:p>
    <w:p>
      <w:pPr>
        <w:ind w:left="420"/>
      </w:pPr>
      <w:r>
        <w:t xml:space="preserve">3. wenn der Entleiher stirbt.</w:t>
      </w:r>
    </w:p>
    <w:p>
      <w:r>
        <w:rPr>
          <w:color w:val="555555"/>
          <w:sz w:val="17"/>
        </w:rPr>
        <w:t xml:space="preserve">Zitiervorschlag: § 605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