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596a BGB — Ersatzpflicht bei vorzeitigem Pachtende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Endet das Pachtverhältnis im Laufe eines Pachtjahrs, so hat der Verpächter dem Pächter den Wert der noch nicht getrennten, jedoch nach den Regeln einer ordnungsmäßigen Bewirtschaftung vor dem Ende des Pachtjahrs zu trennenden Früchte zu ersetzen. Dabei ist das Ernterisiko angemessen zu berücksichtigen.</w:t>
      </w:r>
    </w:p>
    <w:p>
      <w:r>
        <w:t xml:space="preserve">(2) Lässt sich der in Absatz 1 bezeichnete Wert aus jahreszeitlich bedingten Gründen nicht feststellen, so hat der Verpächter dem Pächter die Aufwendungen auf diese Früchte insoweit zu ersetzen, als sie einer ordnungsmäßigen Bewirtschaftung entsprechen.</w:t>
      </w:r>
    </w:p>
    <w:p>
      <w:r>
        <w:t xml:space="preserve">(3) Absatz 1 gilt auch für das zum Einschlag vorgesehene, aber noch nicht eingeschlagene Holz. Hat der Pächter mehr Holz eingeschlagen, als bei ordnungsmäßiger Nutzung zulässig war, so hat er dem Verpächter den Wert der die normale Nutzung übersteigenden Holzmenge zu ersetzen. Die Geltendmachung eines weiteren Schadens ist nicht ausgeschlossen.</w:t>
      </w:r>
    </w:p>
    <w:p>
      <w:r>
        <w:rPr>
          <w:color w:val="555555"/>
          <w:sz w:val="17"/>
        </w:rPr>
        <w:t xml:space="preserve">Zitiervorschlag: § 596a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https://recht.nulegal.eu/gesetze/BGB/596a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