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596 BGB — Rückgabe der Pachtsache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Pächter ist verpflichtet, die Pachtsache nach Beendigung des Pachtverhältnisses in dem Zustand zurückzugeben, der einer bis zur Rückgabe fortgesetzten ordnungsmäßigen Bewirtschaftung entspricht.</w:t>
      </w:r>
    </w:p>
    <w:p>
      <w:r>
        <w:t xml:space="preserve">(2) Dem Pächter steht wegen seiner Ansprüche gegen den Verpächter ein Zurückbehaltungsrecht am Grundstück nicht zu.</w:t>
      </w:r>
    </w:p>
    <w:p>
      <w:r>
        <w:t xml:space="preserve">(3) Hat der Pächter die Nutzung der Pachtsache einem Dritten überlassen, so kann der Verpächter die Sache nach Beendigung des Pachtverhältnisses auch von dem Dritten zurückfordern.</w:t>
      </w:r>
    </w:p>
    <w:p>
      <w:r>
        <w:rPr>
          <w:color w:val="555555"/>
          <w:sz w:val="17"/>
        </w:rPr>
        <w:t xml:space="preserve">Zitiervorschlag: § 596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https://recht.nulegal.eu/gesetze/BGB/596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