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595a BGB — Vorzeitige Kündigung von Landpachtverträgen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Soweit die Vertragsteile zur außerordentlichen Kündigung eines Landpachtverhältnisses mit der gesetzlichen Frist berechtigt sind, steht ihnen dieses Recht auch nach Verlängerung des Landpachtverhältnisses oder Änderung des Landpachtvertrags zu.</w:t>
      </w:r>
    </w:p>
    <w:p>
      <w:r>
        <w:t xml:space="preserve">(2) Auf Antrag eines Vertragsteils kann das Landwirtschaftsgericht Anordnungen über die Abwicklung eines vorzeitig beendeten oder eines teilweise beendeten Landpachtvertrags treffen. Wird die Verlängerung eines Landpachtvertrags auf einen Teil der Pachtsache beschränkt, kann das Landwirtschaftsgericht die Pacht für diesen Teil festsetzen.</w:t>
      </w:r>
    </w:p>
    <w:p>
      <w:r>
        <w:t xml:space="preserve">(3) Der Inhalt von Anordnungen des Landwirtschaftsgerichts gilt unter den Vertragsteilen als Vertragsinhalt. Über Streitigkeiten, die diesen Vertragsinhalt betreffen, entscheidet auf Antrag das Landwirtschaftsgericht.</w:t>
      </w:r>
    </w:p>
    <w:p>
      <w:r>
        <w:rPr>
          <w:color w:val="555555"/>
          <w:sz w:val="17"/>
        </w:rPr>
        <w:t xml:space="preserve">Zitiervorschlag: § 595a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https://recht.nulegal.eu/gesetze/BGB/595a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