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594e BGB — Außerordentliche fristlose Kündigung aus wichtigem Grund</w:t>
      </w:r>
    </w:p>
    <w:p>
      <w:r>
        <w:rPr>
          <w:color w:val="555555"/>
          <w:sz w:val="18"/>
        </w:rPr>
        <w:t xml:space="preserve">Bürgerliches Gesetzbuch</w:t>
      </w:r>
    </w:p>
    <w:p>
      <w:r>
        <w:rPr>
          <w:color w:val="555555"/>
          <w:sz w:val="18"/>
        </w:rPr>
        <w:t xml:space="preserve">Stand: 15.08.2024 (konsolidierte Textfassung, kein amtliches Inkrafttretensdatum)</w:t>
      </w:r>
    </w:p>
    <w:p>
      <w:r>
        <w:t xml:space="preserve">(1) Die außerordentliche fristlose Kündigung des Pachtverhältnisses ist in entsprechender Anwendung der §§ 543, 569 Abs. 1 und 2 zulässig.</w:t>
      </w:r>
    </w:p>
    <w:p>
      <w:r>
        <w:t xml:space="preserve">(2) Abweichend von § 543 Abs. 2 Nr. 3 Buchstaben a und b liegt ein wichtiger Grund insbesondere vor, wenn der Pächter mit der Entrichtung der Pacht oder eines nicht unerheblichen Teils der Pacht länger als drei Monate in Verzug ist. Ist die Pacht nach Zeitabschnitten von weniger als einem Jahr bemessen, so ist die Kündigung erst zulässig, wenn der Pächter für zwei aufeinander folgende Termine mit der Entrichtung der Pacht oder eines nicht unerheblichen Teils der Pacht in Verzug ist.</w:t>
      </w:r>
    </w:p>
    <w:p>
      <w:r>
        <w:rPr>
          <w:color w:val="555555"/>
          <w:sz w:val="17"/>
        </w:rPr>
        <w:t xml:space="preserve">Zitiervorschlag: § 594e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https://recht.nulegal.eu/gesetze/BGB/594e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