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591b BGB — Verjährung von Ersatzansprüchen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Ersatzansprüche des Verpächters wegen Veränderung oder Verschlechterung der verpachteten Sache sowie die Ansprüche des Pächters auf Ersatz von Verwendungen oder auf Gestattung der Wegnahme einer Einrichtung verjähren in sechs Monaten.</w:t>
      </w:r>
    </w:p>
    <w:p>
      <w:r>
        <w:t xml:space="preserve">(2) Die Verjährung der Ersatzansprüche des Verpächters beginnt mit dem Zeitpunkt, in welchem er die Sache zurückerhält. Die Verjährung der Ansprüche des Pächters beginnt mit der Beendigung des Pachtverhältnisses.</w:t>
      </w:r>
    </w:p>
    <w:p>
      <w:r>
        <w:t xml:space="preserve">(3) Mit der Verjährung des Anspruchs des Verpächters auf Rückgabe der Sache verjähren auch die Ersatzansprüche des Verpächters.</w:t>
      </w:r>
    </w:p>
    <w:p>
      <w:r>
        <w:rPr>
          <w:color w:val="555555"/>
          <w:sz w:val="17"/>
        </w:rPr>
        <w:t xml:space="preserve">Zitiervorschlag: § 591b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https://recht.nulegal.eu/gesetze/BGB/591b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