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590a BGB — Vertragswidriger Gebrauch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der Pächter von der Pachtsache einen vertragswidrigen Gebrauch und setzt er den Gebrauch ungeachtet einer Abmahnung des Verpächters fort, so kann der Verpächter auf Unterlassung klagen.</w:t>
      </w:r>
    </w:p>
    <w:p>
      <w:r>
        <w:rPr>
          <w:color w:val="555555"/>
          <w:sz w:val="17"/>
        </w:rPr>
        <w:t xml:space="preserve">Zitiervorschlag: § 590a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https://recht.nulegal.eu/gesetze/BGB/590a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