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587 BGB — Fälligkeit der Pacht; Entrichtung der Pacht bei persönlicher Verhinderung des Pächters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Pacht ist am Ende der Pachtzeit zu entrichten. Ist die Pacht nach Zeitabschnitten bemessen, so ist sie am ersten Werktag nach dem Ablauf der einzelnen Zeitabschnitte zu entrichten.</w:t>
      </w:r>
    </w:p>
    <w:p>
      <w:r>
        <w:t xml:space="preserve">(2) Der Pächter wird von der Entrichtung der Pacht nicht dadurch befreit, dass er durch einen in seiner Person liegenden Grund an der Ausübung des ihm zustehenden Nutzungsrechts verhindert ist. § 537 Abs. 1 Satz 2 und Abs. 2 gilt entsprechend.</w:t>
      </w:r>
    </w:p>
    <w:p>
      <w:r>
        <w:rPr>
          <w:color w:val="555555"/>
          <w:sz w:val="17"/>
        </w:rPr>
        <w:t xml:space="preserve">Zitiervorschlag: § 587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https://recht.nulegal.eu/gesetze/BGB/587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