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584 BGB — Kündigungsfrist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bei dem Pachtverhältnis über ein Grundstück oder ein Recht die Pachtzeit nicht bestimmt, so ist die Kündigung nur für den Schluss eines Pachtjahrs zulässig; sie hat spätestens am dritten Werktag des halben Jahres zu erfolgen, mit dessen Ablauf die Pacht enden soll.</w:t>
      </w:r>
    </w:p>
    <w:p>
      <w:r>
        <w:t xml:space="preserve">(2) Dies gilt auch, wenn das Pachtverhältnis außerordentlich mit der gesetzlichen Frist gekündigt werden kann.</w:t>
      </w:r>
    </w:p>
    <w:p>
      <w:r>
        <w:rPr>
          <w:color w:val="555555"/>
          <w:sz w:val="17"/>
        </w:rPr>
        <w:t xml:space="preserve">Zitiervorschlag: § 584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https://recht.nulegal.eu/gesetze/BGB/584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