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583 BGB — Pächterpfandrecht am Inventar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Dem Pächter eines Grundstücks steht für die Forderungen gegen den Verpächter, die sich auf das mitgepachtete Inventar beziehen, ein Pfandrecht an den in seinen Besitz gelangten Inventarstücken zu.</w:t>
      </w:r>
    </w:p>
    <w:p>
      <w:r>
        <w:t xml:space="preserve">(2) Der Verpächter kann die Geltendmachung des Pfandrechts des Pächters durch Sicherheitsleistung abwenden. Er kann jedes einzelne Inventarstück dadurch von dem Pfandrecht befreien, dass er in Höhe des Wertes Sicherheit leistet.</w:t>
      </w:r>
    </w:p>
    <w:p>
      <w:r>
        <w:rPr>
          <w:color w:val="555555"/>
          <w:sz w:val="17"/>
        </w:rPr>
        <w:t xml:space="preserve">Zitiervorschlag: § 583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https://recht.nulegal.eu/gesetze/BGB/583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