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582 BGB — Erhaltung des Inventars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Wird ein Grundstück mit Inventar verpachtet, so obliegt dem Pächter die Erhaltung der einzelnen Inventarstücke.</w:t>
      </w:r>
    </w:p>
    <w:p>
      <w:r>
        <w:t xml:space="preserve">(2) Der Verpächter ist verpflichtet, Inventarstücke zu ersetzen, die infolge eines vom Pächter nicht zu vertretenden Umstands in Abgang kommen. Der Pächter hat jedoch den gewöhnlichen Abgang der zum Inventar gehörenden Tiere insoweit zu ersetzen, als dies einer ordnungsmäßigen Wirtschaft entspricht.</w:t>
      </w:r>
    </w:p>
    <w:p>
      <w:r>
        <w:rPr>
          <w:color w:val="555555"/>
          <w:sz w:val="17"/>
        </w:rPr>
        <w:t xml:space="preserve">Zitiervorschlag: § 582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