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577a BGB — Kündigungsbeschränkung bei Wohnungsumwandlung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an vermieteten Wohnräumen nach der Überlassung an den Mieter Wohnungseigentum begründet und das Wohnungseigentum veräußert worden, so kann sich ein Erwerber auf berechtigte Interessen im Sinne des § 573 Abs. 2 Nr. 2 oder 3 erst nach Ablauf von drei Jahren seit der Veräußerung berufen.</w:t>
      </w:r>
    </w:p>
    <w:p>
      <w:r>
        <w:t xml:space="preserve">(1a) Die Kündigungsbeschränkung nach Absatz 1 gilt entsprechend, wenn vermieteter Wohnraum nach der Überlassung an den Mieter</w:t>
      </w:r>
    </w:p>
    <w:p>
      <w:pPr>
        <w:ind w:left="420"/>
      </w:pPr>
      <w:r>
        <w:t xml:space="preserve">1. an eine Personengesellschaft oder an mehrere Erwerber veräußert worden ist oder</w:t>
      </w:r>
    </w:p>
    <w:p>
      <w:pPr>
        <w:ind w:left="420"/>
      </w:pPr>
      <w:r>
        <w:t xml:space="preserve">2. zu Gunsten einer Personengesellschaft oder mehrerer Erwerber mit einem Recht belastet worden ist, durch dessen Ausübung dem Mieter der vertragsgemäße Gebrauch entzogen wird.</w:t>
      </w:r>
    </w:p>
    <w:p>
      <w:r>
        <w:t xml:space="preserve">Satz 1 ist nicht anzuwenden, wenn die Gesellschafter oder Erwerber derselben Familie oder demselben Haushalt angehören oder vor Überlassung des Wohnraums an den Mieter Wohnungseigentum begründet worden ist.</w:t>
      </w:r>
    </w:p>
    <w:p>
      <w:r>
        <w:t xml:space="preserve">(2) Die Frist nach Absatz 1 oder nach Absatz 1a beträgt bis zu zehn Jahre, wenn die ausreichende Versorgung der Bevölkerung mit Mietwohnungen zu angemessenen Bedingungen in einer Gemeinde oder einem Teil einer Gemeinde besonders gefährdet ist und diese Gebiete nach Satz 2 bestimmt sind. Die Landesregierungen werden ermächtigt, diese Gebiete und die Frist nach Satz 1 durch Rechtsverordnung für die Dauer von jeweils höchstens zehn Jahren zu bestimmen.</w:t>
      </w:r>
    </w:p>
    <w:p>
      <w:r>
        <w:t xml:space="preserve">(2a) Wird nach einer Veräußerung oder Belastung im Sinne des Absatzes 1a Wohnungseigentum begründet, so beginnt die Frist, innerhalb der eine Kündigung nach § 573 Absatz 2 Nummer 2 oder 3 ausgeschlossen ist, bereits mit der Veräußerung oder Belastung nach Absatz 1a.</w:t>
      </w:r>
    </w:p>
    <w:p>
      <w:r>
        <w:t xml:space="preserve">(3) Eine zum Nachteil des Mieters abweichende Vereinbarung ist unwirksam.</w:t>
      </w:r>
    </w:p>
    <w:p>
      <w:r>
        <w:rPr>
          <w:color w:val="555555"/>
          <w:sz w:val="17"/>
        </w:rPr>
        <w:t xml:space="preserve">Zitiervorschlag: § 577a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