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573b BGB — Teilkündigung des Vermieters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Vermieter kann nicht zum Wohnen bestimmte Nebenräume oder Teile eines Grundstücks ohne ein berechtigtes Interesse im Sinne des § 573 kündigen, wenn er die Kündigung auf diese Räume oder Grundstücksteile beschränkt und sie dazu verwenden will,</w:t>
      </w:r>
    </w:p>
    <w:p>
      <w:pPr>
        <w:ind w:left="420"/>
      </w:pPr>
      <w:r>
        <w:t xml:space="preserve">1. Wohnraum zum Zwecke der Vermietung zu schaffen oder</w:t>
      </w:r>
    </w:p>
    <w:p>
      <w:pPr>
        <w:ind w:left="420"/>
      </w:pPr>
      <w:r>
        <w:t xml:space="preserve">2. den neu zu schaffenden und den vorhandenen Wohnraum mit Nebenräumen oder Grundstücksteilen auszustatten.</w:t>
      </w:r>
    </w:p>
    <w:p>
      <w:r>
        <w:t xml:space="preserve">(2) Die Kündigung ist spätestens am dritten Werktag eines Kalendermonats zum Ablauf des übernächsten Monats zulässig.</w:t>
      </w:r>
    </w:p>
    <w:p>
      <w:r>
        <w:t xml:space="preserve">(3) Verzögert sich der Beginn der Bauarbeiten, so kann der Mieter eine Verlängerung des Mietverhältnisses um einen entsprechenden Zeitraum verlangen.</w:t>
      </w:r>
    </w:p>
    <w:p>
      <w:r>
        <w:t xml:space="preserve">(4) Der Mieter kann eine angemessene Senkung der Miete verlangen.</w:t>
      </w:r>
    </w:p>
    <w:p>
      <w:r>
        <w:t xml:space="preserve">(5) Eine zum Nachteil des Mieters abweichende Vereinbarung ist unwirksam.</w:t>
      </w:r>
    </w:p>
    <w:p>
      <w:r>
        <w:rPr>
          <w:color w:val="555555"/>
          <w:sz w:val="17"/>
        </w:rPr>
        <w:t xml:space="preserve">Zitiervorschlag: § 573b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https://recht.nulegal.eu/gesetze/BGB/573b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