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57 BGB — Mindesterfordernisse an die Vereinssatzung</w:t>
      </w:r>
    </w:p>
    <w:p>
      <w:r>
        <w:rPr>
          <w:color w:val="555555"/>
          <w:sz w:val="18"/>
        </w:rPr>
        <w:t xml:space="preserve">Bürgerliches Gesetzbuch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Die Satzung muss den Zweck, den Namen und den Sitz des Vereins enthalten und ergeben, dass der Verein eingetragen werden soll.</w:t>
      </w:r>
    </w:p>
    <w:p>
      <w:r>
        <w:t xml:space="preserve">(2) Der Name soll sich von den Namen der an demselben Orte oder in derselben Gemeinde bestehenden eingetragenen Vereine deutlich unterscheiden.</w:t>
      </w:r>
    </w:p>
    <w:p>
      <w:r>
        <w:rPr>
          <w:color w:val="555555"/>
          <w:sz w:val="17"/>
        </w:rPr>
        <w:t xml:space="preserve">Zitiervorschlag: § 57 BGB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https://recht.nulegal.eu/gesetze/BGB/57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