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562 BGB — Umfang des Vermieterpfandrechts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Vermieter hat für seine Forderungen aus dem Mietverhältnis ein Pfandrecht an den eingebrachten Sachen des Mieters. Es erstreckt sich nicht auf die Sachen, die der Pfändung nicht unterliegen.</w:t>
      </w:r>
    </w:p>
    <w:p>
      <w:r>
        <w:t xml:space="preserve">(2) Für künftige Entschädigungsforderungen und für die Miete für eine spätere Zeit als das laufende und das folgende Mietjahr kann das Pfandrecht nicht geltend gemacht werden.</w:t>
      </w:r>
    </w:p>
    <w:p>
      <w:r>
        <w:rPr>
          <w:color w:val="555555"/>
          <w:sz w:val="17"/>
        </w:rPr>
        <w:t xml:space="preserve">Zitiervorschlag: § 562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https://recht.nulegal.eu/gesetze/BGB/562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