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559e BGB — Mieterhöhung nach Einbau oder Aufstellung einer Heizungsanlage</w:t>
      </w:r>
    </w:p>
    <w:p>
      <w:r>
        <w:rPr>
          <w:color w:val="555555"/>
          <w:sz w:val="18"/>
        </w:rPr>
        <w:t xml:space="preserve">Bürgerliches Gesetzbuch</w:t>
      </w:r>
    </w:p>
    <w:p>
      <w:r>
        <w:rPr>
          <w:color w:val="555555"/>
          <w:sz w:val="18"/>
        </w:rPr>
        <w:t xml:space="preserve">Stand: 01.08.2026 (konsolidierte Textfassung, kein amtliches Inkrafttretensdatum)</w:t>
      </w:r>
    </w:p>
    <w:p>
      <w:r>
        <w:t xml:space="preserve">(1) Hat der Vermieter Modernisierungsmaßnahmen nach § 555b Nummer 1a durchgeführt, welche die Voraussetzungen für Zuschüsse aus öffentlichen Haushalten dem Grunde nach erfüllen, und dabei Drittmittel nach § 559a in Anspruch genommen, so kann er die jährliche Miete um 10 Prozent der für die Wohnung aufgewendeten Kosten abzüglich der in Anspruch genommenen Drittmittel erhöhen. Wenn eine Förderung nicht erfolgt, obwohl die Voraussetzungen für eine Förderung dem Grunde nach erfüllt sind, kann der Vermieter die jährliche Miete nach Maßgabe des § 559 erhöhen.</w:t>
      </w:r>
    </w:p>
    <w:p>
      <w:r>
        <w:t xml:space="preserve">(2) § 559 Absatz 2 Satz 1 ist mit der Maßgabe anwendbar, dass Kosten, die für Erhaltungsmaßnahmen erforderlich gewesen wären, pauschal in Höhe von 15 Prozent nicht zu den aufgewendeten Kosten gehören. Dies gilt nicht, soweit Kosten durch den Einbau einer Heizungsanlage im Sinne des § 43 des Gebäudemodernisierungsgesetzes entstanden sind.</w:t>
      </w:r>
    </w:p>
    <w:p>
      <w:r>
        <w:t xml:space="preserve">(3) § 559 Absatz 3a Satz 1 ist mit der Maßgabe anwendbar, dass sich im Hinblick auf eine Modernisierungsmaßnahme nach § 555b Nummer 1a die monatliche Miete um nicht mehr als 0,50 Euro je Quadratmeter Wohnfläche innerhalb von sechs Jahren erhöhen darf. Ist der Vermieter daneben zu Mieterhöhungen nach § 559 Absatz 1 berechtigt, so dürfen die in § 559 Absatz 3a Satz 1 und 2 genannten Grenzen nicht überschritten werden.</w:t>
      </w:r>
    </w:p>
    <w:p>
      <w:r>
        <w:t xml:space="preserve">(4) § 559 Absatz 3, 4 und 5 sowie die §§ 559b bis 559d gelten entsprechend.</w:t>
      </w:r>
    </w:p>
    <w:p>
      <w:r>
        <w:t xml:space="preserve">(5) Eine zum Nachteil des Mieters abweichende Vereinbarung ist unwirksam.</w:t>
      </w:r>
    </w:p>
    <w:p>
      <w:r>
        <w:rPr>
          <w:color w:val="555555"/>
          <w:sz w:val="17"/>
        </w:rPr>
        <w:t xml:space="preserve">Zitiervorschlag: § 559e BGB</w:t>
      </w:r>
    </w:p>
    <w:p>
      <w:r>
        <w:rPr>
          <w:color w:val="555555"/>
          <w:sz w:val="17"/>
        </w:rPr>
        <w:t xml:space="preserve">Quelle: Bundesamt für Justiz, abgerufen 01.08.2026</w:t>
      </w:r>
    </w:p>
    <w:p>
      <w:r>
        <w:rPr>
          <w:color w:val="555555"/>
          <w:sz w:val="17"/>
        </w:rPr>
        <w:t xml:space="preserve">Nicht-amtliche Lesefassung — verbindlich ist das Bundesgesetzblatt</w:t>
      </w:r>
    </w:p>
    <w:p>
      <w:r>
        <w:rPr>
          <w:color w:val="555555"/>
          <w:sz w:val="17"/>
        </w:rPr>
        <w:t xml:space="preserve">Dieses Dokument: https://recht.nulegal.eu/gesetze/BGB/559e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