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559d BGB — Pflichtverletzungen bei Ankündigung oder Durchführung einer baulichen Veränderung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vermutet, dass der Vermieter seine Pflichten aus dem Schuldverhältnis verletzt hat, wenn</w:t>
      </w:r>
    </w:p>
    <w:p>
      <w:pPr>
        <w:ind w:left="420"/>
      </w:pPr>
      <w:r>
        <w:t xml:space="preserve">1. mit der baulichen Veränderung nicht innerhalb von zwölf Monaten nach deren angekündigtem Beginn oder, wenn Angaben hierzu nicht erfolgt sind, nach Zugang der Ankündigung der baulichen Veränderung begonnen wird,</w:t>
      </w:r>
    </w:p>
    <w:p>
      <w:pPr>
        <w:ind w:left="420"/>
      </w:pPr>
      <w:r>
        <w:t xml:space="preserve">2. in der Ankündigung nach § 555c Absatz 1 ein Betrag für die zu erwartende Mieterhöhung angegeben wird, durch den die monatliche Miete mindestens verdoppelt würde,</w:t>
      </w:r>
    </w:p>
    <w:p>
      <w:pPr>
        <w:ind w:left="420"/>
      </w:pPr>
      <w:r>
        <w:t xml:space="preserve">3. die bauliche Veränderung in einer Weise durchgeführt wird, die geeignet ist, zu erheblichen, objektiv nicht notwendigen Belastungen des Mieters zu führen, oder</w:t>
      </w:r>
    </w:p>
    <w:p>
      <w:pPr>
        <w:ind w:left="420"/>
      </w:pPr>
      <w:r>
        <w:t xml:space="preserve">4. die Arbeiten nach Beginn der baulichen Veränderung mehr als zwölf Monate ruhen.</w:t>
      </w:r>
    </w:p>
    <w:p>
      <w:r>
        <w:t xml:space="preserve">Diese Vermutung gilt nicht, wenn der Vermieter darlegt, dass für das Verhalten im Einzelfall ein nachvollziehbarer objektiver Grund vorliegt.</w:t>
      </w:r>
    </w:p>
    <w:p>
      <w:r>
        <w:rPr>
          <w:color w:val="555555"/>
          <w:sz w:val="17"/>
        </w:rPr>
        <w:t xml:space="preserve">Zitiervorschlag: § 559d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https://recht.nulegal.eu/gesetze/BGB/559d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