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559b BGB — Geltendmachung der Erhöhung, Wirkung der Erhöhungserklärung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Mieterhöhung nach § 559 ist dem Mieter in Textform zu erklären. Die Erklärung ist nur wirksam, wenn in ihr die Erhöhung auf Grund der entstandenen Kosten berechnet und entsprechend den Voraussetzungen der §§ 559 und 559a erläutert wird. § 555c Absatz 3 gilt entsprechend.</w:t>
      </w:r>
    </w:p>
    <w:p>
      <w:r>
        <w:t xml:space="preserve">(2) Der Mieter schuldet die erhöhte Miete mit Beginn des dritten Monats nach dem Zugang der Erklärung. Die Frist verlängert sich um sechs Monate, wenn</w:t>
      </w:r>
    </w:p>
    <w:p>
      <w:pPr>
        <w:ind w:left="420"/>
      </w:pPr>
      <w:r>
        <w:t xml:space="preserve">1. der Vermieter dem Mieter die Modernisierungsmaßnahme nicht nach den Vorschriften des § 555c Absatz 1 und 3 bis 5 angekündigt hat oder</w:t>
      </w:r>
    </w:p>
    <w:p>
      <w:pPr>
        <w:ind w:left="420"/>
      </w:pPr>
      <w:r>
        <w:t xml:space="preserve">2. die tatsächliche Mieterhöhung die angekündigte um mehr als 10 Prozent übersteigt.</w:t>
      </w:r>
    </w:p>
    <w:p>
      <w:r>
        <w:t xml:space="preserve">(3) Eine zum Nachteil des Mieters abweichende Vereinbarung ist unwirksam.</w:t>
      </w:r>
    </w:p>
    <w:p>
      <w:r>
        <w:rPr>
          <w:color w:val="555555"/>
          <w:sz w:val="17"/>
        </w:rPr>
        <w:t xml:space="preserve">Zitiervorschlag: § 559b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