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558d BGB — Qualifizierter Mietspiegel</w:t>
      </w:r>
    </w:p>
    <w:p>
      <w:r>
        <w:rPr>
          <w:color w:val="555555"/>
          <w:sz w:val="18"/>
        </w:rPr>
        <w:t xml:space="preserve">Bürgerliches Gesetzbuch</w:t>
      </w:r>
    </w:p>
    <w:p>
      <w:r>
        <w:rPr>
          <w:color w:val="555555"/>
          <w:sz w:val="18"/>
        </w:rPr>
        <w:t xml:space="preserve">Stand: 01.07.2022 (konsolidierte Textfassung, kein amtliches Inkrafttretensdatum)</w:t>
      </w:r>
    </w:p>
    <w:p>
      <w:r>
        <w:t xml:space="preserve">(1) Ein qualifizierter Mietspiegel ist ein Mietspiegel, der nach anerkannten wissenschaftlichen Grundsätzen erstellt und von der nach Landesrecht zuständigen Behörde oder von Interessenvertretern der Vermieter und der Mieter anerkannt worden ist. Entspricht ein Mietspiegel den Anforderungen, die eine nach § 558c Absatz 5 erlassene Rechtsverordnung an qualifizierte Mietspiegel richtet, wird vermutet, dass er nach anerkannten wissenschaftlichen Grundsätzen erstellt wurde. Haben die nach Landesrecht zuständige Behörde und Interessenvertreter der Vermieter und der Mieter den Mietspiegel als qualifizierten Mietspiegel anerkannt, so wird vermutet, dass der Mietspiegel anerkannten wissenschaftlichen Grundsätzen entspricht.</w:t>
      </w:r>
    </w:p>
    <w:p>
      <w:r>
        <w:t xml:space="preserve">(2) Der qualifizierte Mietspiegel ist im Abstand von zwei Jahren der Marktentwicklung anzupassen. Dabei kann eine Stichprobe oder die Entwicklung des vom Statistischen Bundesamt ermittelten Preisindexes für die Lebenshaltung aller privaten Haushalte in Deutschland zugrunde gelegt werden. Nach vier Jahren ist der qualifizierte Mietspiegel neu zu erstellen. Maßgeblicher Zeitpunkt für die Anpassung nach Satz 1 und für die Neuerstellung nach Satz 3 ist der Stichtag, zu dem die Daten für den Mietspiegel erhoben wurden. Satz 4 gilt entsprechend für die Veröffentlichung des Mietspiegels.</w:t>
      </w:r>
    </w:p>
    <w:p>
      <w:r>
        <w:t xml:space="preserve">(3) Ist die Vorschrift des Absatzes 2 eingehalten, so wird vermutet, dass die im qualifizierten Mietspiegel bezeichneten Entgelte die ortsübliche Vergleichsmiete wiedergeben.</w:t>
      </w:r>
    </w:p>
    <w:p>
      <w:r>
        <w:rPr>
          <w:color w:val="555555"/>
          <w:sz w:val="17"/>
        </w:rPr>
        <w:t xml:space="preserve">Zitiervorschlag: § 558d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