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557b BGB — Indexmiete</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Die Vertragsparteien können schriftlich vereinbaren, dass die Miete durch den vom Statistischen Bundesamt ermittelten Preisindex für die Lebenshaltung aller privaten Haushalte in Deutschland bestimmt wird (Indexmiete).</w:t>
      </w:r>
    </w:p>
    <w:p>
      <w:r>
        <w:t xml:space="preserve">(2) Während der Geltung einer Indexmiete muss die Miete, von Erhöhungen nach den §§ 559 bis 560 abgesehen, jeweils mindestens ein Jahr unverändert bleiben. Eine Erhöhung nach § 559 oder § 559e kann nur verlangt werden, soweit der Vermieter bauliche Maßnahmen auf Grund von Umständen durchgeführt hat, die er nicht zu vertreten hat, es sei denn, es wurde eine Modernisierungsmaßnahme nach § 555b Nummer 1a durchgeführt. Eine Erhöhung nach § 558 ist ausgeschlossen.</w:t>
      </w:r>
    </w:p>
    <w:p>
      <w:r>
        <w:t xml:space="preserve">(3) Eine Änderung der Miete nach Absatz 1 muss durch Erklärung in Textform geltend gemacht werden. Dabei sind die eingetretene Änderung des Preisindexes sowie die jeweilige Miete oder die Erhöhung in einem Geldbetrag anzugeben. Die geänderte Miete ist mit Beginn des übernächsten Monats nach dem Zugang der Erklärung zu entrichten.</w:t>
      </w:r>
    </w:p>
    <w:p>
      <w:r>
        <w:t xml:space="preserve">(4) Die §§ 556d bis 556g sind nur auf die Ausgangsmiete einer Indexmietvereinbarung anzuwenden.</w:t>
      </w:r>
    </w:p>
    <w:p>
      <w:r>
        <w:t xml:space="preserve">(5) Eine zum Nachteil des Mieters abweichende Vereinbarung ist unwirksam.</w:t>
      </w:r>
    </w:p>
    <w:p>
      <w:r>
        <w:rPr>
          <w:color w:val="555555"/>
          <w:sz w:val="17"/>
        </w:rPr>
        <w:t xml:space="preserve">Zitiervorschlag: § 557b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