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557 BGB — Mieterhöhungen nach Vereinbarung oder Gesetz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Während des Mietverhältnisses können die Parteien eine Erhöhung der Miete vereinbaren.</w:t>
      </w:r>
    </w:p>
    <w:p>
      <w:r>
        <w:t xml:space="preserve">(2) Künftige Änderungen der Miethöhe können die Vertragsparteien als Staffelmiete nach § 557a oder als Indexmiete nach § 557b vereinbaren.</w:t>
      </w:r>
    </w:p>
    <w:p>
      <w:r>
        <w:t xml:space="preserve">(3) Im Übrigen kann der Vermieter Mieterhöhungen nur nach Maßgabe der §§ 558 bis 560 verlangen, soweit nicht eine Erhöhung durch Vereinbarung ausgeschlossen ist oder sich der Ausschluss aus den Umständen ergibt.</w:t>
      </w:r>
    </w:p>
    <w:p>
      <w:r>
        <w:t xml:space="preserve">(4) Eine zum Nachteil des Mieters abweichende Vereinbarung ist unwirksam.</w:t>
      </w:r>
    </w:p>
    <w:p>
      <w:r>
        <w:rPr>
          <w:color w:val="555555"/>
          <w:sz w:val="17"/>
        </w:rPr>
        <w:t xml:space="preserve">Zitiervorschlag: § 557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https://recht.nulegal.eu/gesetze/BGB/557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557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