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556a BGB — Abrechnungsmaßstab für Betriebskosten</w:t>
      </w:r>
    </w:p>
    <w:p>
      <w:r>
        <w:rPr>
          <w:color w:val="555555"/>
          <w:sz w:val="18"/>
        </w:rPr>
        <w:t xml:space="preserve">Bürgerliches Gesetzbuch</w:t>
      </w:r>
    </w:p>
    <w:p>
      <w:r>
        <w:rPr>
          <w:color w:val="555555"/>
          <w:sz w:val="18"/>
        </w:rPr>
        <w:t xml:space="preserve">Stand: 01.12.2020 (konsolidierte Textfassung, kein amtliches Inkrafttretensdatum)</w:t>
      </w:r>
    </w:p>
    <w:p>
      <w:r>
        <w:t xml:space="preserve">(1) Haben die Vertragsparteien nichts anderes vereinbart, sind die Betriebskosten vorbehaltlich anderweitiger Vorschriften nach dem Anteil der Wohnfläche umzulegen. Betriebskosten, die von einem erfassten Verbrauch oder einer erfassten Verursachung durch die Mieter abhängen, sind nach einem Maßstab umzulegen, der dem unterschiedlichen Verbrauch oder der unterschiedlichen Verursachung Rechnung trägt.</w:t>
      </w:r>
    </w:p>
    <w:p>
      <w:r>
        <w:t xml:space="preserve">(2) Haben die Vertragsparteien etwas anderes vereinbart, kann der Vermieter durch Erklärung in Textform bestimmen, dass die Betriebskosten zukünftig abweichend von der getroffenen Vereinbarung ganz oder teilweise nach einem Maßstab umgelegt werden dürfen, der dem erfassten unterschiedlichen Verbrauch oder der erfassten unterschiedlichen Verursachung Rechnung trägt. Die Erklärung ist nur vor Beginn eines Abrechnungszeitraums zulässig. Sind die Kosten bislang in der Miete enthalten, so ist diese entsprechend herabzusetzen.</w:t>
      </w:r>
    </w:p>
    <w:p>
      <w:r>
        <w:t xml:space="preserve">(3) Ist Wohnungseigentum vermietet und haben die Vertragsparteien nichts anderes vereinbart, sind die Betriebskosten abweichend von Absatz 1 nach dem für die Verteilung zwischen den Wohnungseigentümern jeweils geltenden Maßstab umzulegen. Widerspricht der Maßstab billigem Ermessen, ist nach Absatz 1 umzulegen.</w:t>
      </w:r>
    </w:p>
    <w:p>
      <w:r>
        <w:t xml:space="preserve">(4) Eine zum Nachteil des Mieters von Absatz 2 abweichende Vereinbarung ist unwirksam.</w:t>
      </w:r>
    </w:p>
    <w:p>
      <w:r>
        <w:rPr>
          <w:color w:val="555555"/>
          <w:sz w:val="17"/>
        </w:rPr>
        <w:t xml:space="preserve">Zitiervorschlag: § 556a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