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554a BGB — Barrierefreiheit</w:t>
      </w:r>
    </w:p>
    <w:p>
      <w:r>
        <w:rPr>
          <w:color w:val="555555"/>
          <w:sz w:val="18"/>
        </w:rPr>
        <w:t xml:space="preserve">Bürgerliches Gesetzbuch</w:t>
      </w:r>
    </w:p>
    <w:p>
      <w:r>
        <w:rPr>
          <w:color w:val="555555"/>
          <w:sz w:val="18"/>
        </w:rPr>
        <w:t xml:space="preserve">Außer Kraft: § 554a ist seit 01.12.2020 nicht mehr im BGB enthalten. Angezeigt wird die letzte bekannte Fassung, Stand 10.06.2019.</w:t>
      </w:r>
    </w:p>
    <w:p>
      <w:r>
        <w:t xml:space="preserve">(1) Der Mieter kann vom Vermieter die Zustimmung zu baulichen Veränderungen oder sonstigen Einrichtungen verlangen, die für eine behindertengerechte Nutzung der Mietsache oder den Zugang zu ihr erforderlich sind, wenn er ein berechtigtes Interesse daran hat. Der Vermieter kann seine Zustimmung verweigern, wenn sein Interesse an der unveränderten Erhaltung der Mietsache oder des Gebäudes das Interesse des Mieters an einer behindertengerechten Nutzung der Mietsache überwiegt. Dabei sind auch die berechtigten Interessen anderer Mieter in dem Gebäude zu berücksichtigen.</w:t>
      </w:r>
    </w:p>
    <w:p>
      <w:r>
        <w:t xml:space="preserve">(2) Der Vermieter kann seine Zustimmung von der Leistung einer angemessenen zusätzlichen Sicherheit für die Wiederherstellung des ursprünglichen Zustandes abhängig machen. § 551 Abs. 3 und 4 gilt entsprechend.</w:t>
      </w:r>
    </w:p>
    <w:p>
      <w:r>
        <w:t xml:space="preserve">(3) Eine zum Nachteil des Mieters von Absatz 1 abweichende Vereinbarung ist unwirksam.</w:t>
      </w:r>
    </w:p>
    <w:p>
      <w:r>
        <w:rPr>
          <w:color w:val="555555"/>
          <w:sz w:val="17"/>
        </w:rPr>
        <w:t xml:space="preserve">Zitiervorschlag: § 554a BGB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