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552 BGB — Abwendung des Wegnahmerechts des Mieters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Vermieter kann die Ausübung des Wegnahmerechts (§ 539 Abs. 2) durch Zahlung einer angemessenen Entschädigung abwenden, wenn nicht der Mieter ein berechtigtes Interesse an der Wegnahme hat.</w:t>
      </w:r>
    </w:p>
    <w:p>
      <w:r>
        <w:t xml:space="preserve">(2) Eine Vereinbarung, durch die das Wegnahmerecht ausgeschlossen wird, ist nur wirksam, wenn ein angemessener Ausgleich vorgesehen ist.</w:t>
      </w:r>
    </w:p>
    <w:p>
      <w:r>
        <w:rPr>
          <w:color w:val="555555"/>
          <w:sz w:val="17"/>
        </w:rPr>
        <w:t xml:space="preserve">Zitiervorschlag: § 552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https://recht.nulegal.eu/gesetze/BGB/552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