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542 BGB — Ende des Mietverhältnisses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die Mietzeit nicht bestimmt, so kann jede Vertragspartei das Mietverhältnis nach den gesetzlichen Vorschriften kündigen.</w:t>
      </w:r>
    </w:p>
    <w:p>
      <w:r>
        <w:t xml:space="preserve">(2) Ein Mietverhältnis, das auf bestimmte Zeit eingegangen ist, endet mit dem Ablauf dieser Zeit, sofern es nicht</w:t>
      </w:r>
    </w:p>
    <w:p>
      <w:pPr>
        <w:ind w:left="420"/>
      </w:pPr>
      <w:r>
        <w:t xml:space="preserve">1. in den gesetzlich zugelassenen Fällen außerordentlich gekündigt oder</w:t>
      </w:r>
    </w:p>
    <w:p>
      <w:pPr>
        <w:ind w:left="420"/>
      </w:pPr>
      <w:r>
        <w:t xml:space="preserve">2. verlängert wird.</w:t>
      </w:r>
    </w:p>
    <w:p>
      <w:r>
        <w:rPr>
          <w:color w:val="555555"/>
          <w:sz w:val="17"/>
        </w:rPr>
        <w:t xml:space="preserve">Zitiervorschlag: § 542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https://recht.nulegal.eu/gesetze/BGB/542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