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541 BGB — Unterlassungsklage bei vertragswidrigem Gebrauch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Setzt der Mieter einen vertragswidrigen Gebrauch der Mietsache trotz einer Abmahnung des Vermieters fort, so kann dieser auf Unterlassung klagen.</w:t>
      </w:r>
    </w:p>
    <w:p>
      <w:r>
        <w:rPr>
          <w:color w:val="555555"/>
          <w:sz w:val="17"/>
        </w:rPr>
        <w:t xml:space="preserve">Zitiervorschlag: § 541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