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539 BGB — Ersatz sonstiger Aufwendungen und Wegnahmerecht des Mieters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Mieter kann vom Vermieter Aufwendungen auf die Mietsache, die der Vermieter ihm nicht nach § 536a Abs. 2 zu ersetzen hat, nach den Vorschriften über die Geschäftsführung ohne Auftrag ersetzt verlangen.</w:t>
      </w:r>
    </w:p>
    <w:p>
      <w:r>
        <w:t xml:space="preserve">(2) Der Mieter ist berechtigt, eine Einrichtung wegzunehmen, mit der er die Mietsache versehen hat.</w:t>
      </w:r>
    </w:p>
    <w:p>
      <w:r>
        <w:rPr>
          <w:color w:val="555555"/>
          <w:sz w:val="17"/>
        </w:rPr>
        <w:t xml:space="preserve">Zitiervorschlag: § 539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https://recht.nulegal.eu/gesetze/BGB/539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