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524 BGB — Haftung für Sachmängel</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Verschweigt der Schenker arglistig einen Fehler der verschenkten Sache, so ist er verpflichtet, dem Beschenkten den daraus entstehenden Schaden zu ersetzen.</w:t>
      </w:r>
    </w:p>
    <w:p>
      <w:r>
        <w:t xml:space="preserve">(2) Hatte der Schenker die Leistung einer nur der Gattung nach bestimmten Sache versprochen, die er erst erwerben sollte, so kann der Beschenkte, wenn die geleistete Sache fehlerhaft und der Mangel dem Schenker bei dem Erwerb der Sache bekannt gewesen oder infolge grober Fahrlässigkeit unbekannt geblieben ist, verlangen, dass ihm anstelle der fehlerhaften Sache eine fehlerfreie geliefert wird. Hat der Schenker den Fehler arglistig verschwiegen, so kann der Beschenkte statt der Lieferung einer fehlerfreien Sache Schadensersatz wegen Nichterfüllung verlangen. Auf diese Ansprüche finden die für die Gewährleistung wegen Fehler einer verkauften Sache geltenden Vorschriften entsprechende Anwendung.</w:t>
      </w:r>
    </w:p>
    <w:p>
      <w:r>
        <w:rPr>
          <w:color w:val="555555"/>
          <w:sz w:val="17"/>
        </w:rPr>
        <w:t xml:space="preserve">Zitiervorschlag: § 524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