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523 BGB — Haftung für Rechtsmängel</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Verschweigt der Schenker arglistig einen Mangel im Recht, so ist er verpflichtet, dem Beschenkten den daraus entstehenden Schaden zu ersetzen.</w:t>
      </w:r>
    </w:p>
    <w:p>
      <w:r>
        <w:t xml:space="preserve">(2) Hatte der Schenker die Leistung eines Gegenstandes versprochen, den er erst erwerben sollte, so kann der Beschenkte wegen eines Mangels im Recht Schadensersatz wegen Nichterfüllung verlangen, wenn der Mangel dem Schenker bei dem Erwerb der Sache bekannt gewesen oder infolge grober Fahrlässigkeit unbekannt geblieben ist. Die für die Haftung des Verkäufers für Rechtsmängel geltenden Vorschriften des § 433 Abs. 1 und der §§ 435, 436, 444, 452, 453 finden entsprechende Anwendung.</w:t>
      </w:r>
    </w:p>
    <w:p>
      <w:r>
        <w:rPr>
          <w:color w:val="555555"/>
          <w:sz w:val="17"/>
        </w:rPr>
        <w:t xml:space="preserve">Zitiervorschlag: § 523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https://recht.nulegal.eu/gesetze/BGB/523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523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