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BGB — Sicherung für Gläubiger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Meldet sich ein bekannter Gläubiger nicht, so ist der geschuldete Betrag, wenn die Berechtigung zur Hinterlegung vorhanden ist, für den Gläubiger zu hinterlegen.</w:t>
      </w:r>
    </w:p>
    <w:p>
      <w:r>
        <w:t xml:space="preserve">(2) Ist die Berichtigung einer Verbindlichkeit zur Zeit nicht ausführbar oder ist eine Verbindlichkeit streitig, so darf das Vermögen den Anfallberechtigten nur ausgeantwortet werden, wenn dem Gläubiger Sicherheit geleistet ist.</w:t>
      </w:r>
    </w:p>
    <w:p>
      <w:r>
        <w:rPr>
          <w:color w:val="555555"/>
          <w:sz w:val="17"/>
        </w:rPr>
        <w:t xml:space="preserve">Zitiervorschlag: § 52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