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505 BGB — Geduldete Überziehung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Vereinbart ein Unternehmer in einem Vertrag mit einem Verbraucher über ein laufendes Konto ohne eingeräumte Überziehungsmöglichkeit ein Entgelt für den Fall, dass er eine Überziehung des Kontos duldet, müssen in diesem Vertrag die Angaben nach Artikel 247 § 17 Abs. 1 des Einführungsgesetzes zum Bürgerlichen Gesetzbuche auf einem dauerhaften Datenträger enthalten sein und dem Verbraucher in regelmäßigen Zeitabständen auf einem dauerhaften Datenträger mitgeteilt werden. Satz 1 gilt entsprechend, wenn ein Darlehensgeber mit einem Darlehensnehmer in einem Vertrag über ein laufendes Konto mit eingeräumter Überziehungsmöglichkeit ein Entgelt für den Fall vereinbart, dass er eine Überziehung des Kontos über die vertraglich bestimmte Höhe hinaus duldet.</w:t>
      </w:r>
    </w:p>
    <w:p>
      <w:r>
        <w:t xml:space="preserve">(2) Kommt es im Fall des Absatzes 1 zu einer erheblichen Überziehung von mehr als einem Monat, unterrichtet der Darlehensgeber den Darlehensnehmer unverzüglich auf einem dauerhaften Datenträger über die sich aus Artikel 247 § 17 Abs. 2 des Einführungsgesetzes zum Bürgerlichen Gesetzbuche ergebenden Einzelheiten. Wenn es im Fall des Absatzes 1 zu einer ununterbrochenen Überziehung von mehr als drei Monaten gekommen ist und der durchschnittliche Überziehungsbetrag die Hälfte des durchschnittlichen monatlichen Geldeingangs innerhalb der letzten drei Monate auf diesem Konto übersteigt, so gilt § 504a entsprechend. Wenn der Rechnungsabschluss für das laufende Konto vierteljährlich erfolgt, ist der maßgebliche Zeitpunkt für das Vorliegen der Voraussetzungen nach Satz 1 der jeweilige Rechnungsabschluss.</w:t>
      </w:r>
    </w:p>
    <w:p>
      <w:r>
        <w:t xml:space="preserve">(3) Verstößt der Unternehmer gegen Absatz 1 oder Absatz 2, kann der Darlehensgeber über die Rückzahlung des Darlehens hinaus Kosten und Zinsen nicht verlangen.</w:t>
      </w:r>
    </w:p>
    <w:p>
      <w:r>
        <w:t xml:space="preserve">(4) Die §§ 491a bis 496 und 499 bis 502 sind auf Allgemein-Verbraucherdarlehensverträge, die unter den in Absatz 1 genannten Voraussetzungen zustande kommen, nicht anzuwenden.</w:t>
      </w:r>
    </w:p>
    <w:p>
      <w:r>
        <w:rPr>
          <w:color w:val="555555"/>
          <w:sz w:val="17"/>
        </w:rPr>
        <w:t xml:space="preserve">Zitiervorschlag: § 505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https://recht.nulegal.eu/gesetze/BGB/505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