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497 BGB — Verzug des Darlehensnehmers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der Darlehensnehmer mit Zahlungen, die er auf Grund des Verbraucherdarlehensvertrags schuldet, in Verzug kommt, hat er den geschuldeten Betrag nach § 288 Abs. 1 zu verzinsen. Im Einzelfall kann der Darlehensgeber einen höheren oder der Darlehensnehmer einen niedrigeren Schaden nachweisen.</w:t>
      </w:r>
    </w:p>
    <w:p>
      <w:r>
        <w:t xml:space="preserve">(2) Die nach Eintritt des Verzugs anfallenden Zinsen sind auf einem gesonderten Konto zu verbuchen und dürfen nicht in ein Kontokorrent mit dem geschuldeten Betrag oder anderen Forderungen des Darlehensgebers eingestellt werden. Hinsichtlich dieser Zinsen gilt § 289 Satz 2 mit der Maßgabe, dass der Darlehensgeber Schadensersatz nur bis zur Höhe des gesetzlichen Zinssatzes (§ 246) verlangen kann.</w:t>
      </w:r>
    </w:p>
    <w:p>
      <w:r>
        <w:t xml:space="preserve">(3) Zahlungen des Darlehensnehmers, die zur Tilgung der gesamten fälligen Schuld nicht ausreichen, werden abweichend von § 367 Abs. 1 zunächst auf die Kosten der Rechtsverfolgung, dann auf den übrigen geschuldeten Betrag (Absatz 1) und zuletzt auf die Zinsen (Absatz 2) angerechnet. Der Darlehensgeber darf Teilzahlungen nicht zurückweisen. Die Verjährung der Ansprüche auf Darlehensrückzahlung und Zinsen ist vom Eintritt des Verzugs nach Absatz 1 an bis zu ihrer Feststellung in einer in § 197 Abs. 1 Nr. 3 bis 5 bezeichneten Art gehemmt, jedoch nicht länger als zehn Jahre von ihrer Entstehung an. Auf die Ansprüche auf Zinsen findet § 197 Abs. 2 keine Anwendung. Die Sätze 1 bis 4 finden keine Anwendung, soweit Zahlungen auf Vollstreckungstitel geleistet werden, deren Hauptforderung auf Zinsen lautet.</w:t>
      </w:r>
    </w:p>
    <w:p>
      <w:r>
        <w:t xml:space="preserve">(4) Bei Immobiliar-Verbraucherdarlehensverträgen beträgt der Verzugszinssatz abweichend von Absatz 1 für das Jahr 2,5 Prozentpunkte über dem Basiszinssatz. Die Absätze 2 und 3 Satz 1, 2, 4 und 5 sind auf Immobiliar-Verbraucherdarlehensverträge nicht anzuwenden.</w:t>
      </w:r>
    </w:p>
    <w:p>
      <w:r>
        <w:rPr>
          <w:color w:val="555555"/>
          <w:sz w:val="17"/>
        </w:rPr>
        <w:t xml:space="preserve">Zitiervorschlag: § 497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