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486a BGB — Besondere Vorschriften für Verträge über langfristige Urlaubsprodukte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Bei einem Vertrag über ein langfristiges Urlaubsprodukt enthält das in Artikel 242 § 1 Absatz 2 des Einführungsgesetzes zum Bürgerlichen Gesetzbuche bezeichnete Formblatt einen Ratenzahlungsplan. Der Unternehmer darf von den dort genannten Zahlungsmodalitäten nicht abweichen. Er darf den laut Formblatt fälligen jährlichen Teilbetrag vom Verbraucher nur fordern oder annehmen, wenn er den Verbraucher zuvor in Textform zur Zahlung dieses Teilbetrags aufgefordert hat. Die Zahlungsaufforderung muss dem Verbraucher mindestens zwei Wochen vor Fälligkeit des jährlichen Teilbetrags zugehen.</w:t>
      </w:r>
    </w:p>
    <w:p>
      <w:r>
        <w:t xml:space="preserve">(2) Ab dem Zeitpunkt, der nach Absatz 1 für die Zahlung des zweiten Teilbetrags vorgesehen ist, kann der Verbraucher den Vertrag innerhalb von zwei Wochen ab Zugang der Zahlungsaufforderung zum Fälligkeitstermin gemäß Absatz 1 kündigen.</w:t>
      </w:r>
    </w:p>
    <w:p>
      <w:r>
        <w:rPr>
          <w:color w:val="555555"/>
          <w:sz w:val="17"/>
        </w:rPr>
        <w:t xml:space="preserve">Zitiervorschlag: § 486a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https://recht.nulegal.eu/gesetze/BGB/486a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