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483 BGB — Sprache des Vertrags und der vorvertraglichen Informationen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Teilzeit-Wohnrechtevertrag, der Vertrag über ein langfristiges Urlaubsprodukt, der Vermittlungsvertrag oder der Tauschsystemvertrag ist in der Amtssprache oder, wenn es dort mehrere Amtssprachen gibt, in der vom Verbraucher gewählten Amtssprache des Mitgliedstaats der Europäischen Union oder des Vertragsstaats des Abkommens über den Europäischen Wirtschaftsraum abzufassen, in dem der Verbraucher seinen Wohnsitz hat. Ist der Verbraucher Angehöriger eines anderen Mitgliedstaats, so kann er statt der Sprache seines Wohnsitzstaats auch die oder eine der Amtssprachen des Staats, dem er angehört, wählen. Die Sätze 1 und 2 gelten auch für die vorvertraglichen Informationen und für die Widerrufsbelehrung.</w:t>
      </w:r>
    </w:p>
    <w:p>
      <w:r>
        <w:t xml:space="preserve">(2) Ist der Vertrag von einem deutschen Notar zu beurkunden, so gelten die §§ 5 und 16 des Beurkundungsgesetzes mit der Maßgabe, dass dem Verbraucher eine beglaubigte Übersetzung des Vertrags in der von ihm nach Absatz 1 gewählten Sprache auszuhändigen ist.</w:t>
      </w:r>
    </w:p>
    <w:p>
      <w:r>
        <w:t xml:space="preserve">(3) Verträge, die Absatz 1 Satz 1 und 2 oder Absatz 2 nicht entsprechen, sind nichtig.</w:t>
      </w:r>
    </w:p>
    <w:p>
      <w:r>
        <w:rPr>
          <w:color w:val="555555"/>
          <w:sz w:val="17"/>
        </w:rPr>
        <w:t xml:space="preserve">Zitiervorschlag: § 483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