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478 BGB — Sonderbestimmungen für den Rückgriff des Unternehmers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Ist der letzte Vertrag in der Lieferkette ein Verbrauchsgüterkauf (§ 474), findet § 477 in den Fällen des § 445a Absatz 1 und 2 mit der Maßgabe Anwendung, dass die Frist mit dem Übergang der Gefahr auf den Verbraucher beginnt.</w:t>
      </w:r>
    </w:p>
    <w:p>
      <w:r>
        <w:t xml:space="preserve">(2) Auf eine vor Mitteilung eines Mangels an den Lieferanten getroffene Vereinbarung, die zum Nachteil des Unternehmers von Absatz 1 sowie von den §§ 433 bis 435, 437, 439 bis 443, 445a Absatz 1 und 2 sowie den §§ 445b, 475b und 475c abweicht, kann sich der Lieferant nicht berufen, wenn dem Rückgriffsgläubiger kein gleichwertiger Ausgleich eingeräumt wird. Satz 1 gilt unbeschadet des § 307 nicht für den Ausschluss oder die Beschränkung des Anspruchs auf Schadensersatz. Die in Satz 1 bezeichneten Vorschriften finden auch Anwendung, wenn sie durch anderweitige Gestaltungen umgangen werden.</w:t>
      </w:r>
    </w:p>
    <w:p>
      <w:r>
        <w:t xml:space="preserve">(3) Die Absätze 1 und 2 finden auf die Ansprüche des Lieferanten und der übrigen Käufer in der Lieferkette gegen die jeweiligen Verkäufer entsprechende Anwendung, wenn die Schuldner Unternehmer sind.</w:t>
      </w:r>
    </w:p>
    <w:p>
      <w:r>
        <w:rPr>
          <w:color w:val="555555"/>
          <w:sz w:val="17"/>
        </w:rPr>
        <w:t xml:space="preserve">Zitiervorschlag: § 478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https://recht.nulegal.eu/gesetze/BGB/478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478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