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469 BGB — Mitteilungspflicht, Ausübungsfrist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Verpflichtete hat dem Vorkaufsberechtigten den Inhalt des mit dem Dritten geschlossenen Vertrags unverzüglich mitzuteilen. Die Mitteilung des Verpflichteten wird durch die Mitteilung des Dritten ersetzt.</w:t>
      </w:r>
    </w:p>
    <w:p>
      <w:r>
        <w:t xml:space="preserve">(2) Das Vorkaufsrecht kann bei Grundstücken nur bis zum Ablauf von zwei Monaten, bei anderen Gegenständen nur bis zum Ablauf einer Woche nach dem Empfang der Mitteilung ausgeübt werden. Ist für die Ausübung eine Frist bestimmt, so tritt diese an die Stelle der gesetzlichen Frist.</w:t>
      </w:r>
    </w:p>
    <w:p>
      <w:r>
        <w:rPr>
          <w:color w:val="555555"/>
          <w:sz w:val="17"/>
        </w:rPr>
        <w:t xml:space="preserve">Zitiervorschlag: § 469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