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452 BGB — Schiffskauf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Vorschriften dieses Untertitels über den Kauf von Grundstücken finden auf den Kauf von eingetragenen Schiffen und Schiffsbauwerken entsprechende Anwendung.</w:t>
      </w:r>
    </w:p>
    <w:p>
      <w:r>
        <w:rPr>
          <w:color w:val="555555"/>
          <w:sz w:val="17"/>
        </w:rPr>
        <w:t xml:space="preserve">Zitiervorschlag: § 452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https://recht.nulegal.eu/gesetze/BGB/452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