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451 BGB — Kauf durch ausgeschlossenen Käufer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Wirksamkeit eines dem § 450 zuwider erfolgten Kaufs und der Übertragung des gekauften Gegenstandes hängt von der Zustimmung der bei dem Verkauf als Schuldner, Eigentümer oder Gläubiger Beteiligten ab. Fordert der Käufer einen Beteiligten zur Erklärung über die Genehmigung auf, so findet § 177 Abs. 2 entsprechende Anwendung.</w:t>
      </w:r>
    </w:p>
    <w:p>
      <w:r>
        <w:t xml:space="preserve">(2) Wird infolge der Verweigerung der Genehmigung ein neuer Verkauf vorgenommen, so hat der frühere Käufer für die Kosten des neuen Verkaufs sowie für einen Mindererlös aufzukommen.</w:t>
      </w:r>
    </w:p>
    <w:p>
      <w:r>
        <w:rPr>
          <w:color w:val="555555"/>
          <w:sz w:val="17"/>
        </w:rPr>
        <w:t xml:space="preserve">Zitiervorschlag: § 451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