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445a BGB — Rückgriff des Verkäufers</w:t>
      </w:r>
    </w:p>
    <w:p>
      <w:r>
        <w:rPr>
          <w:color w:val="555555"/>
          <w:sz w:val="18"/>
        </w:rPr>
        <w:t xml:space="preserve">Bürgerliches Gesetzbuch</w:t>
      </w:r>
    </w:p>
    <w:p>
      <w:r>
        <w:rPr>
          <w:color w:val="555555"/>
          <w:sz w:val="18"/>
        </w:rPr>
        <w:t xml:space="preserve">Stand: 23.07.2026 (konsolidierte Textfassung, kein amtliches Inkrafttretensdatum)</w:t>
      </w:r>
    </w:p>
    <w:p>
      <w:r>
        <w:t xml:space="preserve">(1) Der Verkäufer kann beim Verkauf einer neu hergestellten Sache von dem Verkäufer, der ihm die Sache verkauft hatte (Lieferant), Ersatz der Aufwendungen verlangen, die er im Verhältnis zum Käufer nach § 439 Absatz 2, 3 und 6 Satz 2 sowie nach § 475 Absatz 5 zu tragen hatte, wenn der vom Käufer geltend gemachte Mangel bereits beim Übergang der Gefahr auf den Verkäufer vorhanden war oder auf einer Verletzung der Aktualisierungspflicht gemäß § 475b Absatz 4 beruht.</w:t>
      </w:r>
    </w:p>
    <w:p>
      <w:r>
        <w:t xml:space="preserve">(2) Für die in § 437 bezeichneten Rechte des Verkäufers gegen seinen Lieferanten bedarf es wegen des vom Käufer geltend gemachten Mangels der sonst erforderlichen Fristsetzung nicht, wenn der Verkäufer die verkaufte neu hergestellte Sache als Folge ihrer Mangelhaftigkeit zurücknehmen musste oder der Käufer den Kaufpreis gemindert hat.</w:t>
      </w:r>
    </w:p>
    <w:p>
      <w:r>
        <w:t xml:space="preserve">(3) Die Absätze 1 und 2 finden auf die Ansprüche des Lieferanten und der übrigen Käufer in der Lieferkette gegen die jeweiligen Verkäufer entsprechende Anwendung, wenn die Schuldner Unternehmer sind.</w:t>
      </w:r>
    </w:p>
    <w:p>
      <w:r>
        <w:t xml:space="preserve">(4) § 377 des Handelsgesetzbuchs bleibt unberührt.</w:t>
      </w:r>
    </w:p>
    <w:p>
      <w:r>
        <w:rPr>
          <w:color w:val="555555"/>
          <w:sz w:val="17"/>
        </w:rPr>
        <w:t xml:space="preserve">Zitiervorschlag: § 445a BGB</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Dieses Dokument: https://recht.nulegal.eu/gesetze/BGB/445a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