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440 BGB — Besondere Bestimmungen für Rücktritt und Schadensersatz</w:t>
      </w:r>
    </w:p>
    <w:p>
      <w:r>
        <w:rPr>
          <w:color w:val="555555"/>
          <w:sz w:val="18"/>
        </w:rPr>
        <w:t xml:space="preserve">Bürgerliches Gesetzbuch</w:t>
      </w:r>
    </w:p>
    <w:p>
      <w:r>
        <w:rPr>
          <w:color w:val="555555"/>
          <w:sz w:val="18"/>
        </w:rPr>
        <w:t xml:space="preserve">Stand: 10.06.2019 (konsolidierte Textfassung, kein amtliches Inkrafttretensdatum)</w:t>
      </w:r>
    </w:p>
    <w:p>
      <w:r>
        <w:t xml:space="preserve">Außer in den Fällen des § 281 Absatz 2 und des § 323 Absatz 2 bedarf es der Fristsetzung auch dann nicht, wenn der Verkäufer beide Arten der Nacherfüllung gemäß § 439 Absatz 4 verweigert oder wenn die dem Käufer zustehende Art der Nacherfüllung fehlgeschlagen oder ihm unzumutbar ist. Eine Nachbesserung gilt nach dem erfolglosen zweiten Versuch als fehlgeschlagen, wenn sich nicht insbesondere aus der Art der Sache oder des Mangels oder den sonstigen Umständen etwas anderes ergibt.</w:t>
      </w:r>
    </w:p>
    <w:p>
      <w:r>
        <w:rPr>
          <w:color w:val="555555"/>
          <w:sz w:val="17"/>
        </w:rPr>
        <w:t xml:space="preserve">Zitiervorschlag: § 440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https://recht.nulegal.eu/gesetze/BGB/440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